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91" w:beforeLines="100" w:after="291" w:afterLines="100" w:line="360" w:lineRule="auto"/>
        <w:jc w:val="center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《铁道运输与经济》投稿要求规范</w:t>
      </w:r>
    </w:p>
    <w:p>
      <w:pPr>
        <w:pStyle w:val="3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公</w:t>
      </w:r>
      <w:r>
        <w:rPr>
          <w:rFonts w:hint="eastAsia"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式</w:t>
      </w:r>
    </w:p>
    <w:p>
      <w:pPr>
        <w:adjustRightInd w:val="0"/>
        <w:snapToGrid w:val="0"/>
        <w:ind w:firstLine="420" w:firstLineChars="20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数学公式应另起一行</w:t>
      </w:r>
      <w:r>
        <w:rPr>
          <w:rFonts w:hint="eastAsia" w:ascii="Times New Roman" w:hAnsi="Times New Roman" w:cs="Times New Roman"/>
          <w:szCs w:val="21"/>
        </w:rPr>
        <w:t>，转行空2个中文字符</w:t>
      </w:r>
      <w:r>
        <w:rPr>
          <w:rFonts w:ascii="Times New Roman" w:hAnsi="Times New Roman" w:cs="Times New Roman"/>
          <w:szCs w:val="21"/>
        </w:rPr>
        <w:t>，全文按顺序编号并括起来；公式必须编号</w:t>
      </w:r>
      <w:r>
        <w:rPr>
          <w:rFonts w:hint="eastAsia" w:ascii="Times New Roman" w:hAnsi="Times New Roman" w:cs="Times New Roman"/>
          <w:szCs w:val="21"/>
        </w:rPr>
        <w:t>，且编号需为“插入”格式</w:t>
      </w:r>
      <w:r>
        <w:rPr>
          <w:rFonts w:ascii="Times New Roman" w:hAnsi="Times New Roman" w:cs="Times New Roman"/>
          <w:szCs w:val="21"/>
        </w:rPr>
        <w:t>。按公式中量符号出现的顺序，用准确、简洁的语句解释其物理意义。尽量避免不必要的公式推导。</w:t>
      </w:r>
      <w:r>
        <w:rPr>
          <w:rFonts w:hint="eastAsia" w:ascii="Times New Roman" w:hAnsi="Times New Roman" w:cs="Times New Roman"/>
          <w:szCs w:val="21"/>
        </w:rPr>
        <w:t>公式用mathtype输入。</w:t>
      </w:r>
    </w:p>
    <w:p>
      <w:pPr>
        <w:adjustRightInd w:val="0"/>
        <w:snapToGrid w:val="0"/>
        <w:ind w:firstLine="422" w:firstLineChars="20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  <w:u w:val="thick"/>
        </w:rPr>
        <w:t>示例</w:t>
      </w:r>
      <w:r>
        <w:rPr>
          <w:rFonts w:ascii="Times New Roman" w:hAnsi="Times New Roman" w:cs="Times New Roman"/>
          <w:szCs w:val="21"/>
        </w:rPr>
        <w:t xml:space="preserve"> ……，则</w:t>
      </w:r>
      <w:r>
        <w:rPr>
          <w:rFonts w:hint="eastAsia" w:ascii="Times New Roman" w:hAnsi="Times New Roman" w:cs="Times New Roman"/>
          <w:szCs w:val="21"/>
        </w:rPr>
        <w:t>动车组列车在运动过程中的受力可表示为</w:t>
      </w:r>
    </w:p>
    <w:p>
      <w:pPr>
        <w:adjustRightInd w:val="0"/>
        <w:snapToGrid w:val="0"/>
        <w:ind w:right="840" w:firstLine="420" w:firstLineChars="20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position w:val="-4"/>
        </w:rPr>
        <w:object>
          <v:shape id="_x0000_i1025" o:spt="75" type="#_x0000_t75" style="height:13pt;width:70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Cs w:val="21"/>
        </w:rPr>
        <w:t xml:space="preserve">                                                     </w:t>
      </w:r>
      <w:r>
        <w:rPr>
          <w:rFonts w:hint="eastAsia" w:ascii="Times New Roman" w:hAnsi="Times New Roman" w:cs="Times New Roman"/>
          <w:szCs w:val="21"/>
        </w:rPr>
        <w:t>(</w:t>
      </w:r>
      <w:r>
        <w:rPr>
          <w:rFonts w:ascii="Times New Roman" w:hAnsi="Times New Roman" w:cs="Times New Roman"/>
          <w:szCs w:val="21"/>
        </w:rPr>
        <w:t>1)</w:t>
      </w:r>
    </w:p>
    <w:p>
      <w:pPr>
        <w:adjustRightInd w:val="0"/>
        <w:snapToGrid w:val="0"/>
        <w:textAlignment w:val="center"/>
        <w:rPr>
          <w:rFonts w:ascii="Times New Roman" w:hAnsi="Times New Roman" w:cs="Times New Roman"/>
          <w:b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szCs w:val="21"/>
        </w:rPr>
        <w:t>式中</w:t>
      </w:r>
      <w:r>
        <w:rPr>
          <w:rFonts w:hint="eastAsia" w:ascii="Times New Roman" w:hAnsi="Times New Roman" w:cs="Times New Roman"/>
          <w:szCs w:val="21"/>
        </w:rPr>
        <w:t>：</w:t>
      </w:r>
      <w:r>
        <w:rPr>
          <w:rFonts w:ascii="Times New Roman" w:hAnsi="Times New Roman" w:cs="Times New Roman"/>
          <w:szCs w:val="21"/>
        </w:rPr>
        <w:object>
          <v:shape id="_x0000_i1026" o:spt="75" type="#_x0000_t75" style="height:13pt;width:10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rFonts w:hint="eastAsia" w:ascii="Times New Roman" w:hAnsi="Times New Roman" w:cs="Times New Roman"/>
          <w:szCs w:val="21"/>
        </w:rPr>
        <w:t>为列车牵引力，</w:t>
      </w:r>
      <w:r>
        <w:rPr>
          <w:rFonts w:ascii="Times New Roman" w:hAnsi="Times New Roman" w:cs="Times New Roman"/>
          <w:szCs w:val="21"/>
        </w:rPr>
        <w:t>N</w:t>
      </w:r>
      <w:r>
        <w:rPr>
          <w:rFonts w:hint="eastAsia" w:ascii="Times New Roman" w:hAnsi="Times New Roman" w:cs="Times New Roman"/>
          <w:szCs w:val="21"/>
        </w:rPr>
        <w:t>；</w:t>
      </w:r>
      <w:r>
        <w:rPr>
          <w:rFonts w:ascii="Times New Roman" w:hAnsi="Times New Roman" w:cs="Times New Roman"/>
          <w:szCs w:val="21"/>
        </w:rPr>
        <w:object>
          <v:shape id="_x0000_i1027" o:spt="75" type="#_x0000_t75" style="height:13pt;width:13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  <w:r>
        <w:rPr>
          <w:rFonts w:hint="eastAsia" w:ascii="Times New Roman" w:hAnsi="Times New Roman" w:cs="Times New Roman"/>
          <w:szCs w:val="21"/>
        </w:rPr>
        <w:t>为列车制动力，单位；</w:t>
      </w:r>
      <w:r>
        <w:rPr>
          <w:rFonts w:ascii="Times New Roman" w:hAnsi="Times New Roman" w:cs="Times New Roman"/>
          <w:szCs w:val="21"/>
        </w:rPr>
        <w:object>
          <v:shape id="_x0000_i1028" o:spt="75" type="#_x0000_t75" style="height:13pt;width:13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1">
            <o:LockedField>false</o:LockedField>
          </o:OLEObject>
        </w:object>
      </w:r>
      <w:r>
        <w:rPr>
          <w:rFonts w:hint="eastAsia" w:ascii="Times New Roman" w:hAnsi="Times New Roman" w:cs="Times New Roman"/>
          <w:szCs w:val="21"/>
        </w:rPr>
        <w:t>为列车阻力，单位。</w:t>
      </w:r>
      <w:r>
        <w:rPr>
          <w:rFonts w:ascii="Times New Roman" w:hAnsi="Times New Roman" w:cs="Times New Roman"/>
          <w:b/>
          <w:color w:val="2F5597" w:themeColor="accent5" w:themeShade="BF"/>
          <w:szCs w:val="21"/>
        </w:rPr>
        <w:t>此行一定左对齐</w:t>
      </w:r>
    </w:p>
    <w:p>
      <w:pPr>
        <w:adjustRightInd w:val="0"/>
        <w:snapToGrid w:val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  <w:u w:val="thick"/>
        </w:rPr>
        <w:t>应注意</w:t>
      </w:r>
      <w:r>
        <w:rPr>
          <w:rFonts w:ascii="Times New Roman" w:hAnsi="Times New Roman" w:cs="Times New Roman"/>
          <w:szCs w:val="21"/>
        </w:rPr>
        <w:t>：公式中的量符号（指自行设定的量符号）本刊原则上要求量符号为单个字母，其他字母可以用上、下标表示，尽量少用3层关系的上下角标。</w:t>
      </w:r>
      <w:r>
        <w:rPr>
          <w:rFonts w:hint="eastAsia" w:ascii="Times New Roman" w:hAnsi="Times New Roman" w:cs="Times New Roman"/>
          <w:szCs w:val="21"/>
        </w:rPr>
        <w:t>变量第一次出现时要进行解释，再次出现不需要再解释；字母变量用斜体，数字用正体。</w:t>
      </w:r>
    </w:p>
    <w:p>
      <w:pPr>
        <w:pStyle w:val="2"/>
      </w:pPr>
    </w:p>
    <w:p>
      <w:pPr>
        <w:pStyle w:val="3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量和单位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（1）量和单位。</w:t>
      </w:r>
      <w:r>
        <w:rPr>
          <w:rFonts w:ascii="Times New Roman" w:hAnsi="Times New Roman" w:cs="Times New Roman"/>
          <w:szCs w:val="21"/>
        </w:rPr>
        <w:t>量和单位的名称与符号应符合规范《国际单位制及其应用》（GB3100—1993）、《有关量、单位和符号的一般原则》（GB3101—1993）、《量和单位》（GB3102—1993）的要求。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（2）量符号正斜体问题。</w:t>
      </w:r>
      <w:r>
        <w:rPr>
          <w:rFonts w:ascii="Times New Roman" w:hAnsi="Times New Roman" w:cs="Times New Roman"/>
          <w:szCs w:val="21"/>
        </w:rPr>
        <w:t>变量</w:t>
      </w:r>
      <w:r>
        <w:rPr>
          <w:rFonts w:ascii="Times New Roman" w:hAnsi="Times New Roman" w:cs="Times New Roman"/>
        </w:rPr>
        <w:t>、函数</w:t>
      </w:r>
      <w:r>
        <w:rPr>
          <w:rFonts w:ascii="Times New Roman" w:hAnsi="Times New Roman" w:cs="Times New Roman"/>
          <w:szCs w:val="21"/>
        </w:rPr>
        <w:t>符号用斜体，本刊原则上要求量符号为单个字母，其他字母可以用上、下标表示。</w:t>
      </w:r>
      <w:r>
        <w:rPr>
          <w:rFonts w:ascii="Times New Roman" w:hAnsi="Times New Roman" w:cs="Times New Roman"/>
        </w:rPr>
        <w:t>表示单位的字母应使用正体。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bCs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具</w:t>
      </w:r>
      <w:r>
        <w:rPr>
          <w:rFonts w:hint="eastAsia" w:ascii="Times New Roman" w:hAnsi="Times New Roman" w:cs="Times New Roman"/>
          <w:bCs/>
          <w:color w:val="2F5597" w:themeColor="accent5" w:themeShade="BF"/>
          <w:szCs w:val="21"/>
        </w:rPr>
        <w:t>有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特殊意义的函数符号max、min、lg、sin、tan、arctan、arccos、π、e、Re、Im、矩阵转置符号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  <w:vertAlign w:val="superscript"/>
        </w:rPr>
        <w:t>T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、arg(复数的幅角)、const(常数符号)、mod(模数)、sgn(符号函数)等用正体；微分符号d和偏微分符号∂用正体</w:t>
      </w:r>
      <w:r>
        <w:rPr>
          <w:rFonts w:hint="eastAsia" w:ascii="Times New Roman" w:hAnsi="Times New Roman" w:cs="Times New Roman"/>
          <w:bCs/>
          <w:color w:val="2F5597" w:themeColor="accent5" w:themeShade="BF"/>
          <w:szCs w:val="21"/>
        </w:rPr>
        <w:t>；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重力加速度g用正体。坐标轴</w:t>
      </w:r>
      <w:r>
        <w:rPr>
          <w:rFonts w:ascii="Times New Roman" w:hAnsi="Times New Roman" w:cs="Times New Roman"/>
          <w:bCs/>
          <w:i/>
          <w:iCs/>
          <w:color w:val="2F5597" w:themeColor="accent5" w:themeShade="BF"/>
          <w:szCs w:val="21"/>
        </w:rPr>
        <w:t>x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、</w:t>
      </w:r>
      <w:r>
        <w:rPr>
          <w:rFonts w:ascii="Times New Roman" w:hAnsi="Times New Roman" w:cs="Times New Roman"/>
          <w:bCs/>
          <w:i/>
          <w:iCs/>
          <w:color w:val="2F5597" w:themeColor="accent5" w:themeShade="BF"/>
          <w:szCs w:val="21"/>
        </w:rPr>
        <w:t>y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、</w:t>
      </w:r>
      <w:r>
        <w:rPr>
          <w:rFonts w:ascii="Times New Roman" w:hAnsi="Times New Roman" w:cs="Times New Roman"/>
          <w:bCs/>
          <w:i/>
          <w:iCs/>
          <w:color w:val="2F5597" w:themeColor="accent5" w:themeShade="BF"/>
          <w:szCs w:val="21"/>
        </w:rPr>
        <w:t>z</w:t>
      </w:r>
      <w:r>
        <w:rPr>
          <w:rFonts w:ascii="Times New Roman" w:hAnsi="Times New Roman" w:cs="Times New Roman"/>
          <w:bCs/>
          <w:color w:val="2F5597" w:themeColor="accent5" w:themeShade="BF"/>
          <w:szCs w:val="21"/>
        </w:rPr>
        <w:t>要用斜体。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（3）变量上、下标问题。</w:t>
      </w:r>
      <w:r>
        <w:rPr>
          <w:rFonts w:ascii="Times New Roman" w:hAnsi="Times New Roman" w:cs="Times New Roman"/>
          <w:szCs w:val="21"/>
        </w:rPr>
        <w:t>变量的上、下标除了表示变量的（如表示</w:t>
      </w:r>
      <w:r>
        <w:rPr>
          <w:rFonts w:ascii="Times New Roman" w:hAnsi="Times New Roman" w:cs="Times New Roman"/>
          <w:i/>
          <w:szCs w:val="21"/>
        </w:rPr>
        <w:t>X</w:t>
      </w:r>
      <w:r>
        <w:rPr>
          <w:rFonts w:ascii="Times New Roman" w:hAnsi="Times New Roman" w:cs="Times New Roman"/>
          <w:szCs w:val="21"/>
        </w:rPr>
        <w:t>轴等）用斜体外，都用正体，尽量少用3层关系的上下角标。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（4）</w:t>
      </w:r>
      <w:r>
        <w:rPr>
          <w:rFonts w:ascii="Times New Roman" w:hAnsi="Times New Roman" w:cs="Times New Roman"/>
          <w:szCs w:val="21"/>
        </w:rPr>
        <w:t>矢量、向量、张量、矩阵</w:t>
      </w:r>
      <w:r>
        <w:rPr>
          <w:rFonts w:ascii="Times New Roman" w:hAnsi="Times New Roman" w:cs="Times New Roman"/>
          <w:b/>
          <w:szCs w:val="21"/>
        </w:rPr>
        <w:t>符号用黑斜体</w:t>
      </w:r>
      <w:r>
        <w:rPr>
          <w:rFonts w:hint="eastAsia" w:ascii="Times New Roman" w:hAnsi="Times New Roman" w:cs="Times New Roman"/>
          <w:b/>
          <w:szCs w:val="21"/>
        </w:rPr>
        <w:t>（即加粗的斜体）</w:t>
      </w:r>
      <w:r>
        <w:rPr>
          <w:rFonts w:ascii="Times New Roman" w:hAnsi="Times New Roman" w:cs="Times New Roman"/>
          <w:szCs w:val="21"/>
        </w:rPr>
        <w:t>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（5）图、表中的量。</w:t>
      </w:r>
      <w:r>
        <w:rPr>
          <w:rFonts w:ascii="Times New Roman" w:hAnsi="Times New Roman" w:cs="Times New Roman"/>
          <w:szCs w:val="21"/>
        </w:rPr>
        <w:t>表示数量的图、表中的量和图的数轴应给出单位，特别注意数值模拟软件生成图中可能的单位，并采用国际标准单位。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（6）图表中</w:t>
      </w:r>
      <w:r>
        <w:rPr>
          <w:rFonts w:ascii="Times New Roman" w:hAnsi="Times New Roman" w:cs="Times New Roman"/>
          <w:szCs w:val="21"/>
        </w:rPr>
        <w:t>的</w:t>
      </w:r>
      <w:r>
        <w:rPr>
          <w:rFonts w:hint="eastAsia" w:ascii="Times New Roman" w:hAnsi="Times New Roman" w:cs="Times New Roman"/>
          <w:szCs w:val="21"/>
        </w:rPr>
        <w:t>数字单位e</w:t>
      </w:r>
      <w:r>
        <w:rPr>
          <w:rFonts w:ascii="Times New Roman" w:hAnsi="Times New Roman" w:cs="Times New Roman"/>
          <w:szCs w:val="21"/>
        </w:rPr>
        <w:t>均须改为</w:t>
      </w:r>
      <w:r>
        <w:rPr>
          <w:rFonts w:ascii="Times New Roman" w:hAnsi="Times New Roman" w:cs="Times New Roman"/>
          <w:b/>
          <w:szCs w:val="21"/>
        </w:rPr>
        <w:t>科学</w:t>
      </w:r>
      <w:r>
        <w:rPr>
          <w:rFonts w:hint="eastAsia" w:ascii="Times New Roman" w:hAnsi="Times New Roman" w:cs="Times New Roman"/>
          <w:b/>
          <w:szCs w:val="21"/>
        </w:rPr>
        <w:t>计数</w:t>
      </w:r>
      <w:r>
        <w:rPr>
          <w:rFonts w:ascii="Times New Roman" w:hAnsi="Times New Roman" w:cs="Times New Roman"/>
          <w:b/>
          <w:szCs w:val="21"/>
        </w:rPr>
        <w:t>法</w:t>
      </w:r>
      <w:r>
        <w:rPr>
          <w:rFonts w:ascii="Times New Roman" w:hAnsi="Times New Roman" w:cs="Times New Roman"/>
          <w:szCs w:val="21"/>
        </w:rPr>
        <w:t>。</w:t>
      </w:r>
      <w:r>
        <w:rPr>
          <w:rFonts w:hint="eastAsia" w:ascii="Times New Roman" w:hAnsi="Times New Roman" w:cs="Times New Roman"/>
          <w:szCs w:val="21"/>
        </w:rPr>
        <w:t>如1.2</w:t>
      </w:r>
      <w:r>
        <w:rPr>
          <w:rFonts w:ascii="Times New Roman" w:hAnsi="Times New Roman" w:cs="Times New Roman"/>
          <w:szCs w:val="21"/>
        </w:rPr>
        <w:t>e12</w:t>
      </w:r>
      <w:r>
        <w:rPr>
          <w:rFonts w:hint="eastAsia" w:ascii="Times New Roman" w:hAnsi="Times New Roman" w:cs="Times New Roman"/>
          <w:szCs w:val="21"/>
        </w:rPr>
        <w:t>应</w:t>
      </w:r>
      <w:r>
        <w:rPr>
          <w:rFonts w:ascii="Times New Roman" w:hAnsi="Times New Roman" w:cs="Times New Roman"/>
          <w:szCs w:val="21"/>
        </w:rPr>
        <w:t>改为</w:t>
      </w:r>
      <w:r>
        <w:rPr>
          <w:rFonts w:hint="eastAsia" w:ascii="Times New Roman" w:hAnsi="Times New Roman" w:cs="Times New Roman"/>
          <w:szCs w:val="21"/>
        </w:rPr>
        <w:t>“1.2×10</w:t>
      </w:r>
      <w:r>
        <w:rPr>
          <w:rFonts w:hint="eastAsia" w:ascii="Times New Roman" w:hAnsi="Times New Roman" w:cs="Times New Roman"/>
          <w:szCs w:val="21"/>
          <w:vertAlign w:val="superscript"/>
        </w:rPr>
        <w:t>12</w:t>
      </w:r>
      <w:r>
        <w:rPr>
          <w:rFonts w:hint="eastAsia" w:ascii="Times New Roman" w:hAnsi="Times New Roman" w:cs="Times New Roman"/>
          <w:szCs w:val="21"/>
        </w:rPr>
        <w:t>”。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（7）公式换行时，运算符号留在上一行。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（8）关于半字线</w:t>
      </w:r>
      <w:r>
        <w:rPr>
          <w:rFonts w:ascii="宋体" w:hAnsi="宋体" w:cs="Times New Roman"/>
          <w:szCs w:val="21"/>
        </w:rPr>
        <w:t>-</w:t>
      </w:r>
      <w:r>
        <w:rPr>
          <w:rFonts w:hint="eastAsia"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一字线—</w:t>
      </w:r>
      <w:r>
        <w:rPr>
          <w:rFonts w:hint="eastAsia"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波浪线~</w:t>
      </w:r>
      <w:r>
        <w:rPr>
          <w:rFonts w:hint="eastAsia" w:ascii="Times New Roman" w:hAnsi="Times New Roman" w:cs="Times New Roman"/>
          <w:szCs w:val="21"/>
        </w:rPr>
        <w:t>的</w:t>
      </w:r>
      <w:r>
        <w:rPr>
          <w:rFonts w:ascii="Times New Roman" w:hAnsi="Times New Roman" w:cs="Times New Roman"/>
          <w:szCs w:val="21"/>
        </w:rPr>
        <w:t>用法：</w:t>
      </w:r>
      <w:r>
        <w:rPr>
          <w:rFonts w:hint="eastAsia" w:ascii="Times New Roman" w:hAnsi="Times New Roman" w:cs="Times New Roman"/>
          <w:szCs w:val="21"/>
        </w:rPr>
        <w:t>①连接相关词语构成复合结构、产品型号、日期、序号时</w:t>
      </w:r>
      <w:r>
        <w:rPr>
          <w:rFonts w:ascii="Times New Roman" w:hAnsi="Times New Roman" w:cs="Times New Roman"/>
          <w:szCs w:val="21"/>
        </w:rPr>
        <w:t>用</w:t>
      </w:r>
      <w:r>
        <w:rPr>
          <w:rFonts w:hint="eastAsia" w:ascii="Times New Roman" w:hAnsi="Times New Roman" w:cs="Times New Roman"/>
          <w:szCs w:val="21"/>
        </w:rPr>
        <w:t>半字线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宋体" w:hAnsi="宋体" w:cs="Times New Roman"/>
          <w:szCs w:val="21"/>
        </w:rPr>
        <w:t>-</w:t>
      </w:r>
      <w:r>
        <w:rPr>
          <w:rFonts w:ascii="Times New Roman" w:hAnsi="Times New Roman" w:cs="Times New Roman"/>
          <w:szCs w:val="21"/>
        </w:rPr>
        <w:t>”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如“</w:t>
      </w:r>
      <w:r>
        <w:rPr>
          <w:rFonts w:hint="eastAsia" w:ascii="Times New Roman" w:hAnsi="Times New Roman" w:cs="Times New Roman"/>
          <w:szCs w:val="21"/>
        </w:rPr>
        <w:t>AHP</w:t>
      </w:r>
      <w:r>
        <w:rPr>
          <w:rFonts w:hint="eastAsia" w:ascii="宋体" w:hAnsi="宋体" w:cs="Times New Roman"/>
          <w:szCs w:val="21"/>
        </w:rPr>
        <w:t>-</w:t>
      </w:r>
      <w:r>
        <w:rPr>
          <w:rFonts w:hint="eastAsia" w:ascii="Times New Roman" w:hAnsi="Times New Roman" w:cs="Times New Roman"/>
          <w:szCs w:val="21"/>
        </w:rPr>
        <w:t>熵权模型</w:t>
      </w:r>
      <w:r>
        <w:rPr>
          <w:rFonts w:ascii="Times New Roman" w:hAnsi="Times New Roman" w:cs="Times New Roman"/>
          <w:szCs w:val="21"/>
        </w:rPr>
        <w:t>”</w:t>
      </w:r>
      <w:r>
        <w:rPr>
          <w:rFonts w:hint="eastAsia" w:ascii="Times New Roman" w:hAnsi="Times New Roman" w:cs="Times New Roman"/>
          <w:szCs w:val="21"/>
        </w:rPr>
        <w:t>。②标准规范</w:t>
      </w:r>
      <w:r>
        <w:rPr>
          <w:rFonts w:ascii="Times New Roman" w:hAnsi="Times New Roman" w:cs="Times New Roman"/>
          <w:szCs w:val="21"/>
        </w:rPr>
        <w:t>、经纬度、</w:t>
      </w:r>
      <w:r>
        <w:rPr>
          <w:rFonts w:hint="eastAsia" w:ascii="Times New Roman" w:hAnsi="Times New Roman" w:cs="Times New Roman"/>
          <w:szCs w:val="21"/>
        </w:rPr>
        <w:t>连接</w:t>
      </w:r>
      <w:r>
        <w:rPr>
          <w:rFonts w:ascii="Times New Roman" w:hAnsi="Times New Roman" w:cs="Times New Roman"/>
          <w:szCs w:val="21"/>
        </w:rPr>
        <w:t>地名或方位名词</w:t>
      </w:r>
      <w:r>
        <w:rPr>
          <w:rFonts w:hint="eastAsia" w:ascii="Times New Roman" w:hAnsi="Times New Roman" w:cs="Times New Roman"/>
          <w:szCs w:val="21"/>
        </w:rPr>
        <w:t>用</w:t>
      </w:r>
      <w:r>
        <w:rPr>
          <w:rFonts w:ascii="Times New Roman" w:hAnsi="Times New Roman" w:cs="Times New Roman"/>
          <w:szCs w:val="21"/>
        </w:rPr>
        <w:t>一字线“—”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如</w:t>
      </w:r>
      <w:r>
        <w:rPr>
          <w:rFonts w:hint="eastAsia" w:ascii="Times New Roman" w:hAnsi="Times New Roman" w:cs="Times New Roman"/>
          <w:szCs w:val="21"/>
        </w:rPr>
        <w:t>“北京南—上海虹桥”“1998—2</w:t>
      </w:r>
      <w:r>
        <w:rPr>
          <w:rFonts w:ascii="Times New Roman" w:hAnsi="Times New Roman" w:cs="Times New Roman"/>
          <w:szCs w:val="21"/>
        </w:rPr>
        <w:t>011</w:t>
      </w:r>
      <w:r>
        <w:rPr>
          <w:rFonts w:hint="eastAsia" w:ascii="Times New Roman" w:hAnsi="Times New Roman" w:cs="Times New Roman"/>
          <w:szCs w:val="21"/>
        </w:rPr>
        <w:t>年”“7月3—9日”。③数值范围</w:t>
      </w:r>
      <w:r>
        <w:rPr>
          <w:rFonts w:ascii="Times New Roman" w:hAnsi="Times New Roman" w:cs="Times New Roman"/>
          <w:szCs w:val="21"/>
        </w:rPr>
        <w:t>（</w:t>
      </w:r>
      <w:r>
        <w:rPr>
          <w:rFonts w:hint="eastAsia" w:ascii="Times New Roman" w:hAnsi="Times New Roman" w:cs="Times New Roman"/>
          <w:szCs w:val="21"/>
        </w:rPr>
        <w:t>非</w:t>
      </w:r>
      <w:r>
        <w:rPr>
          <w:rFonts w:ascii="Times New Roman" w:hAnsi="Times New Roman" w:cs="Times New Roman"/>
          <w:szCs w:val="21"/>
        </w:rPr>
        <w:t>时间概念）</w:t>
      </w:r>
      <w:r>
        <w:rPr>
          <w:rFonts w:hint="eastAsia" w:ascii="Times New Roman" w:hAnsi="Times New Roman" w:cs="Times New Roman"/>
          <w:szCs w:val="21"/>
        </w:rPr>
        <w:t>用波浪线</w:t>
      </w:r>
      <w:r>
        <w:rPr>
          <w:rFonts w:ascii="Times New Roman" w:hAnsi="Times New Roman" w:cs="Times New Roman"/>
          <w:szCs w:val="21"/>
        </w:rPr>
        <w:t>~，</w:t>
      </w:r>
      <w:r>
        <w:rPr>
          <w:rFonts w:hint="eastAsia" w:ascii="Times New Roman" w:hAnsi="Times New Roman" w:cs="Times New Roman"/>
          <w:szCs w:val="21"/>
        </w:rPr>
        <w:t>如“</w:t>
      </w:r>
      <w:r>
        <w:rPr>
          <w:rFonts w:ascii="Times New Roman" w:hAnsi="Times New Roman" w:cs="Times New Roman"/>
          <w:szCs w:val="21"/>
        </w:rPr>
        <w:t xml:space="preserve">20~40 </w:t>
      </w:r>
      <w:r>
        <w:rPr>
          <w:rFonts w:hint="eastAsia" w:ascii="Times New Roman" w:hAnsi="Times New Roman" w:cs="Times New Roman"/>
          <w:szCs w:val="21"/>
        </w:rPr>
        <w:t>m”。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（9）“年”</w:t>
      </w:r>
      <w:r>
        <w:rPr>
          <w:rFonts w:ascii="Times New Roman" w:hAnsi="Times New Roman" w:cs="Times New Roman"/>
          <w:szCs w:val="21"/>
        </w:rPr>
        <w:t>作为时间</w:t>
      </w:r>
      <w:r>
        <w:rPr>
          <w:rFonts w:hint="eastAsia" w:ascii="Times New Roman" w:hAnsi="Times New Roman" w:cs="Times New Roman"/>
          <w:szCs w:val="21"/>
        </w:rPr>
        <w:t>量词</w:t>
      </w:r>
      <w:r>
        <w:rPr>
          <w:rFonts w:ascii="Times New Roman" w:hAnsi="Times New Roman" w:cs="Times New Roman"/>
          <w:szCs w:val="21"/>
        </w:rPr>
        <w:t>时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使用国际单位a</w:t>
      </w:r>
      <w:r>
        <w:rPr>
          <w:rFonts w:hint="eastAsia" w:ascii="Times New Roman" w:hAnsi="Times New Roman" w:cs="Times New Roman"/>
          <w:szCs w:val="21"/>
        </w:rPr>
        <w:t>；“天”</w:t>
      </w:r>
      <w:r>
        <w:rPr>
          <w:rFonts w:ascii="Times New Roman" w:hAnsi="Times New Roman" w:cs="Times New Roman"/>
          <w:szCs w:val="21"/>
        </w:rPr>
        <w:t>作为时间</w:t>
      </w:r>
      <w:r>
        <w:rPr>
          <w:rFonts w:hint="eastAsia" w:ascii="Times New Roman" w:hAnsi="Times New Roman" w:cs="Times New Roman"/>
          <w:szCs w:val="21"/>
        </w:rPr>
        <w:t>量词</w:t>
      </w:r>
      <w:r>
        <w:rPr>
          <w:rFonts w:ascii="Times New Roman" w:hAnsi="Times New Roman" w:cs="Times New Roman"/>
          <w:szCs w:val="21"/>
        </w:rPr>
        <w:t>时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使用国际单位</w:t>
      </w:r>
      <w:r>
        <w:rPr>
          <w:rFonts w:hint="eastAsia" w:ascii="Times New Roman" w:hAnsi="Times New Roman" w:cs="Times New Roman"/>
          <w:szCs w:val="21"/>
        </w:rPr>
        <w:t>d；小时</w:t>
      </w:r>
      <w:r>
        <w:rPr>
          <w:rFonts w:ascii="Times New Roman" w:hAnsi="Times New Roman" w:cs="Times New Roman"/>
          <w:szCs w:val="21"/>
        </w:rPr>
        <w:t>、分钟、秒的国际单位为h</w:t>
      </w:r>
      <w:r>
        <w:rPr>
          <w:rFonts w:hint="eastAsia"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min</w:t>
      </w:r>
      <w:r>
        <w:rPr>
          <w:rFonts w:hint="eastAsia"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s</w:t>
      </w:r>
      <w:r>
        <w:rPr>
          <w:rFonts w:hint="eastAsia" w:ascii="Times New Roman" w:hAnsi="Times New Roman" w:cs="Times New Roman"/>
          <w:szCs w:val="21"/>
        </w:rPr>
        <w:t>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iCs/>
          <w:szCs w:val="21"/>
        </w:rPr>
      </w:pPr>
      <w:r>
        <w:rPr>
          <w:rFonts w:hint="eastAsia" w:ascii="Times New Roman" w:hAnsi="Times New Roman" w:cs="Times New Roman"/>
          <w:iCs/>
          <w:szCs w:val="21"/>
        </w:rPr>
        <w:t>（</w:t>
      </w:r>
      <w:r>
        <w:rPr>
          <w:rFonts w:ascii="Times New Roman" w:hAnsi="Times New Roman" w:cs="Times New Roman"/>
          <w:iCs/>
          <w:szCs w:val="21"/>
        </w:rPr>
        <w:t>10</w:t>
      </w:r>
      <w:r>
        <w:rPr>
          <w:rFonts w:hint="eastAsia" w:ascii="Times New Roman" w:hAnsi="Times New Roman" w:cs="Times New Roman"/>
          <w:iCs/>
          <w:szCs w:val="21"/>
        </w:rPr>
        <w:t>）Σ上下限取值</w:t>
      </w:r>
      <w:r>
        <w:rPr>
          <w:rFonts w:ascii="Times New Roman" w:hAnsi="Times New Roman" w:cs="Times New Roman"/>
          <w:iCs/>
          <w:szCs w:val="21"/>
        </w:rPr>
        <w:t>写法：</w:t>
      </w:r>
      <w:r>
        <w:rPr>
          <w:rFonts w:hint="eastAsia" w:ascii="Times New Roman" w:hAnsi="Times New Roman" w:cs="Times New Roman"/>
          <w:iCs/>
          <w:szCs w:val="21"/>
        </w:rPr>
        <w:t xml:space="preserve">      （分别写在Σ</w:t>
      </w:r>
      <w:r>
        <w:rPr>
          <w:rFonts w:ascii="Times New Roman" w:hAnsi="Times New Roman" w:cs="Times New Roman"/>
          <w:iCs/>
          <w:szCs w:val="21"/>
        </w:rPr>
        <w:t>上方和下</w:t>
      </w:r>
      <w:r>
        <w:rPr>
          <w:rFonts w:hint="eastAsia" w:ascii="Times New Roman" w:hAnsi="Times New Roman" w:cs="Times New Roman"/>
          <w:iCs/>
          <w:szCs w:val="21"/>
        </w:rPr>
        <w:t>方）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（1</w:t>
      </w:r>
      <w:r>
        <w:rPr>
          <w:rFonts w:ascii="Times New Roman" w:hAnsi="Times New Roman" w:cs="Times New Roman"/>
          <w:szCs w:val="21"/>
        </w:rPr>
        <w:t>1</w:t>
      </w:r>
      <w:r>
        <w:rPr>
          <w:rFonts w:hint="eastAsia" w:ascii="Times New Roman" w:hAnsi="Times New Roman" w:cs="Times New Roman"/>
          <w:szCs w:val="21"/>
        </w:rPr>
        <w:t>）2条以上引用参考文献应为短线连接[13-14].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（1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）《    》之间</w:t>
      </w:r>
      <w:r>
        <w:rPr>
          <w:rFonts w:ascii="Times New Roman" w:hAnsi="Times New Roman" w:cs="Times New Roman"/>
          <w:szCs w:val="21"/>
        </w:rPr>
        <w:t>，“   ”</w:t>
      </w:r>
      <w:r>
        <w:rPr>
          <w:rFonts w:hint="eastAsia" w:ascii="Times New Roman" w:hAnsi="Times New Roman" w:cs="Times New Roman"/>
          <w:szCs w:val="21"/>
        </w:rPr>
        <w:t>之间</w:t>
      </w:r>
      <w:r>
        <w:rPr>
          <w:rFonts w:ascii="Times New Roman" w:hAnsi="Times New Roman" w:cs="Times New Roman"/>
          <w:szCs w:val="21"/>
        </w:rPr>
        <w:t>不加顿号</w:t>
      </w:r>
      <w:r>
        <w:rPr>
          <w:rFonts w:hint="eastAsia" w:ascii="Times New Roman" w:hAnsi="Times New Roman" w:cs="Times New Roman"/>
          <w:szCs w:val="21"/>
        </w:rPr>
        <w:t>。例如，“依据《高速铁路站车客运管理规则》《普速铁路站车客运管理规则》，……”。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（1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）文中涉及层次叙述的不应用①……②……，应用（1）……（2）……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（1</w:t>
      </w:r>
      <w:r>
        <w:rPr>
          <w:rFonts w:ascii="Times New Roman" w:hAnsi="Times New Roman" w:cs="Times New Roman"/>
          <w:szCs w:val="21"/>
        </w:rPr>
        <w:t>4</w:t>
      </w:r>
      <w:r>
        <w:rPr>
          <w:rFonts w:hint="eastAsia" w:ascii="Times New Roman" w:hAnsi="Times New Roman" w:cs="Times New Roman"/>
          <w:szCs w:val="21"/>
        </w:rPr>
        <w:t>）文中</w:t>
      </w:r>
      <w:r>
        <w:rPr>
          <w:rFonts w:ascii="Times New Roman" w:hAnsi="Times New Roman" w:cs="Times New Roman"/>
          <w:szCs w:val="21"/>
        </w:rPr>
        <w:t>参考文献序号需紧跟在作者之后，</w:t>
      </w:r>
      <w:r>
        <w:rPr>
          <w:rFonts w:hint="eastAsia" w:ascii="Times New Roman" w:hAnsi="Times New Roman" w:cs="Times New Roman"/>
          <w:szCs w:val="21"/>
        </w:rPr>
        <w:t>2名及以上作者的文献，则在第一作者后加“等”字。</w:t>
      </w:r>
      <w:r>
        <w:rPr>
          <w:rFonts w:ascii="Times New Roman" w:hAnsi="Times New Roman" w:cs="Times New Roman"/>
          <w:szCs w:val="21"/>
        </w:rPr>
        <w:t>例如，“Yao</w:t>
      </w:r>
      <w:r>
        <w:rPr>
          <w:rFonts w:hint="eastAsia" w:ascii="Times New Roman" w:hAnsi="Times New Roman" w:cs="Times New Roman"/>
          <w:szCs w:val="21"/>
        </w:rPr>
        <w:t>等</w:t>
      </w:r>
      <w:r>
        <w:rPr>
          <w:rFonts w:hint="eastAsia" w:ascii="Times New Roman" w:hAnsi="Times New Roman" w:cs="Times New Roman"/>
          <w:szCs w:val="21"/>
          <w:vertAlign w:val="superscript"/>
        </w:rPr>
        <w:t>[</w:t>
      </w:r>
      <w:r>
        <w:rPr>
          <w:rFonts w:ascii="Times New Roman" w:hAnsi="Times New Roman" w:cs="Times New Roman"/>
          <w:szCs w:val="21"/>
          <w:vertAlign w:val="superscript"/>
        </w:rPr>
        <w:t>14</w:t>
      </w:r>
      <w:r>
        <w:rPr>
          <w:rFonts w:hint="eastAsia" w:ascii="Times New Roman" w:hAnsi="Times New Roman" w:cs="Times New Roman"/>
          <w:szCs w:val="21"/>
          <w:vertAlign w:val="superscript"/>
        </w:rPr>
        <w:t>]</w:t>
      </w:r>
      <w:r>
        <w:rPr>
          <w:rFonts w:hint="eastAsia"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Ahrens</w:t>
      </w:r>
      <w:r>
        <w:rPr>
          <w:rFonts w:hint="eastAsia" w:ascii="Times New Roman" w:hAnsi="Times New Roman" w:cs="Times New Roman"/>
          <w:szCs w:val="21"/>
        </w:rPr>
        <w:t>等</w:t>
      </w:r>
      <w:r>
        <w:rPr>
          <w:rFonts w:hint="eastAsia" w:ascii="Times New Roman" w:hAnsi="Times New Roman" w:cs="Times New Roman"/>
          <w:szCs w:val="21"/>
          <w:vertAlign w:val="superscript"/>
        </w:rPr>
        <w:t>[</w:t>
      </w:r>
      <w:r>
        <w:rPr>
          <w:rFonts w:ascii="Times New Roman" w:hAnsi="Times New Roman" w:cs="Times New Roman"/>
          <w:szCs w:val="21"/>
          <w:vertAlign w:val="superscript"/>
        </w:rPr>
        <w:t>15</w:t>
      </w:r>
      <w:r>
        <w:rPr>
          <w:rFonts w:hint="eastAsia" w:ascii="Times New Roman" w:hAnsi="Times New Roman" w:cs="Times New Roman"/>
          <w:szCs w:val="21"/>
          <w:vertAlign w:val="superscript"/>
        </w:rPr>
        <w:t>]</w:t>
      </w:r>
      <w:r>
        <w:rPr>
          <w:rFonts w:hint="eastAsia" w:ascii="Times New Roman" w:hAnsi="Times New Roman" w:cs="Times New Roman"/>
          <w:szCs w:val="21"/>
        </w:rPr>
        <w:t>均对此</w:t>
      </w:r>
      <w:r>
        <w:rPr>
          <w:rFonts w:ascii="Times New Roman" w:hAnsi="Times New Roman" w:cs="Times New Roman"/>
          <w:szCs w:val="21"/>
        </w:rPr>
        <w:t>类模型进行优化和改进”</w:t>
      </w:r>
      <w:r>
        <w:rPr>
          <w:rFonts w:hint="eastAsia" w:ascii="Times New Roman" w:hAnsi="Times New Roman" w:cs="Times New Roman"/>
          <w:szCs w:val="21"/>
        </w:rPr>
        <w:t>。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（15）时分秒之间使用英文冒号，如15:20</w:t>
      </w:r>
    </w:p>
    <w:p>
      <w:pPr>
        <w:pStyle w:val="2"/>
        <w:adjustRightInd w:val="0"/>
        <w:snapToGrid w:val="0"/>
        <w:spacing w:after="0"/>
        <w:rPr>
          <w:rFonts w:ascii="Times New Roman" w:hAnsi="Times New Roman" w:cs="Times New Roman"/>
        </w:rPr>
      </w:pPr>
    </w:p>
    <w:p>
      <w:pPr>
        <w:pStyle w:val="3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图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（1）先文后图。</w:t>
      </w:r>
      <w:r>
        <w:rPr>
          <w:rFonts w:ascii="Times New Roman" w:hAnsi="Times New Roman" w:cs="Times New Roman"/>
          <w:szCs w:val="21"/>
        </w:rPr>
        <w:t>图要有图序、图名，全文统一用图1、图2等顺序编号，先见相应文字后见图，</w:t>
      </w:r>
      <w:r>
        <w:rPr>
          <w:rFonts w:ascii="Times New Roman" w:hAnsi="Times New Roman" w:cs="Times New Roman"/>
          <w:b/>
          <w:color w:val="2F5597" w:themeColor="accent5" w:themeShade="BF"/>
          <w:szCs w:val="21"/>
        </w:rPr>
        <w:t>图名在正文中要提及</w:t>
      </w:r>
      <w:r>
        <w:rPr>
          <w:rFonts w:hint="eastAsia" w:ascii="Times New Roman" w:hAnsi="Times New Roman" w:cs="Times New Roman"/>
          <w:szCs w:val="21"/>
        </w:rPr>
        <w:t>，写法为XXXX(与图名完全一致)如图1所示。图表名称要翻译，</w:t>
      </w:r>
      <w:r>
        <w:rPr>
          <w:rFonts w:ascii="Times New Roman" w:hAnsi="Times New Roman" w:cs="Times New Roman"/>
          <w:szCs w:val="21"/>
        </w:rPr>
        <w:t>文字内容必须和图中内容相符，并置于图的下方。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（2）提供的插图板式。</w:t>
      </w:r>
      <w:r>
        <w:rPr>
          <w:rFonts w:ascii="Times New Roman" w:hAnsi="Times New Roman" w:cs="Times New Roman"/>
          <w:szCs w:val="21"/>
        </w:rPr>
        <w:t>尽可能提供JPG格式，然后插入到word文档中（嵌入格式），段落设为单倍行距。作者认为必要时，可在录用后单独将插图发给责任编辑。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（3）纵、横坐标问题。</w:t>
      </w:r>
      <w:r>
        <w:rPr>
          <w:rFonts w:ascii="Times New Roman" w:hAnsi="Times New Roman" w:cs="Times New Roman"/>
          <w:szCs w:val="21"/>
        </w:rPr>
        <w:t>坐标上的刻度线朝内，图中用符号表示物理量和单位时，采用物理量/单位的形式标记，且物理量的符号用斜体字母表示，单位的符号用正体字母表示，如t/a等</w:t>
      </w:r>
      <w:r>
        <w:rPr>
          <w:rFonts w:hint="eastAsia" w:ascii="Times New Roman" w:hAnsi="Times New Roman" w:cs="Times New Roman"/>
          <w:szCs w:val="21"/>
        </w:rPr>
        <w:t>，横纵坐标尽量有坐标轴名称，居中，带单位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（4）图标题问题。</w:t>
      </w:r>
      <w:r>
        <w:rPr>
          <w:rFonts w:ascii="Times New Roman" w:hAnsi="Times New Roman" w:cs="Times New Roman"/>
          <w:szCs w:val="21"/>
        </w:rPr>
        <w:t>图中文标题用</w:t>
      </w:r>
      <w:r>
        <w:rPr>
          <w:rFonts w:hint="eastAsia" w:ascii="Times New Roman" w:hAnsi="Times New Roman" w:cs="Times New Roman"/>
          <w:szCs w:val="21"/>
        </w:rPr>
        <w:t>小5</w:t>
      </w:r>
      <w:r>
        <w:rPr>
          <w:rFonts w:ascii="Times New Roman" w:hAnsi="Times New Roman" w:cs="Times New Roman"/>
          <w:szCs w:val="21"/>
        </w:rPr>
        <w:t>黑体</w:t>
      </w:r>
      <w:r>
        <w:rPr>
          <w:rFonts w:hint="eastAsia" w:ascii="Times New Roman" w:hAnsi="Times New Roman" w:cs="Times New Roman"/>
          <w:szCs w:val="21"/>
        </w:rPr>
        <w:t>字</w:t>
      </w:r>
      <w:r>
        <w:rPr>
          <w:rFonts w:ascii="Times New Roman" w:hAnsi="Times New Roman" w:cs="Times New Roman"/>
          <w:szCs w:val="21"/>
        </w:rPr>
        <w:t>；图英文标题用</w:t>
      </w:r>
      <w:r>
        <w:rPr>
          <w:rFonts w:hint="eastAsia" w:ascii="Times New Roman" w:hAnsi="Times New Roman" w:cs="Times New Roman"/>
          <w:szCs w:val="21"/>
        </w:rPr>
        <w:t>小5</w:t>
      </w:r>
      <w:r>
        <w:rPr>
          <w:rFonts w:ascii="Times New Roman" w:hAnsi="Times New Roman" w:cs="Times New Roman"/>
          <w:szCs w:val="21"/>
        </w:rPr>
        <w:t>Times New Roman</w:t>
      </w:r>
      <w:r>
        <w:rPr>
          <w:rFonts w:hint="eastAsia" w:ascii="Times New Roman" w:hAnsi="Times New Roman" w:cs="Times New Roman"/>
          <w:szCs w:val="21"/>
        </w:rPr>
        <w:t>字体</w:t>
      </w:r>
      <w:r>
        <w:rPr>
          <w:rFonts w:ascii="Times New Roman" w:hAnsi="Times New Roman" w:cs="Times New Roman"/>
          <w:szCs w:val="21"/>
        </w:rPr>
        <w:t>。</w:t>
      </w:r>
      <w:r>
        <w:rPr>
          <w:rFonts w:hint="eastAsia" w:ascii="Times New Roman" w:hAnsi="Times New Roman" w:cs="Times New Roman"/>
          <w:szCs w:val="21"/>
        </w:rPr>
        <w:t>多图要分开成a，b等图。</w:t>
      </w:r>
    </w:p>
    <w:p>
      <w:pPr>
        <w:pStyle w:val="2"/>
        <w:ind w:firstLine="420" w:firstLineChars="200"/>
      </w:pPr>
      <w:r>
        <w:rPr>
          <w:rFonts w:ascii="Times New Roman" w:hAnsi="Times New Roman" w:cs="Times New Roman"/>
        </w:rPr>
        <w:t>（5）</w:t>
      </w:r>
      <w:r>
        <w:rPr>
          <w:rFonts w:hint="eastAsia"/>
        </w:rPr>
        <w:t>所有的图不要地理信息类的底图，只保留线路车站等信息。</w:t>
      </w:r>
    </w:p>
    <w:p>
      <w:pPr>
        <w:pStyle w:val="2"/>
        <w:jc w:val="center"/>
      </w:pPr>
      <w:r>
        <w:rPr>
          <w:rFonts w:ascii="Times New Roman" w:hAnsi="宋体" w:cs="Times New Roman"/>
          <w:szCs w:val="21"/>
        </w:rPr>
        <w:drawing>
          <wp:inline distT="0" distB="0" distL="0" distR="0">
            <wp:extent cx="5274310" cy="389191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adjustRightInd w:val="0"/>
        <w:snapToGrid w:val="0"/>
        <w:spacing w:after="0"/>
      </w:pPr>
    </w:p>
    <w:p>
      <w:pPr>
        <w:pStyle w:val="3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表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（1）先文后表。</w:t>
      </w:r>
      <w:r>
        <w:rPr>
          <w:rFonts w:ascii="Times New Roman" w:hAnsi="Times New Roman" w:cs="Times New Roman"/>
          <w:szCs w:val="21"/>
        </w:rPr>
        <w:t>表要有表序、表名，全文按表1、表2等顺序编排，先见相应文字后见表，</w:t>
      </w:r>
      <w:r>
        <w:rPr>
          <w:rFonts w:hint="eastAsia" w:ascii="Times New Roman" w:hAnsi="Times New Roman" w:cs="Times New Roman"/>
          <w:b/>
          <w:color w:val="2F5597" w:themeColor="accent5" w:themeShade="BF"/>
          <w:szCs w:val="21"/>
        </w:rPr>
        <w:t>表</w:t>
      </w:r>
      <w:r>
        <w:rPr>
          <w:rFonts w:ascii="Times New Roman" w:hAnsi="Times New Roman" w:cs="Times New Roman"/>
          <w:b/>
          <w:color w:val="2F5597" w:themeColor="accent5" w:themeShade="BF"/>
          <w:szCs w:val="21"/>
        </w:rPr>
        <w:t>名在正文中要提及</w:t>
      </w:r>
      <w:r>
        <w:rPr>
          <w:rFonts w:hint="eastAsia" w:ascii="Times New Roman" w:hAnsi="Times New Roman" w:cs="Times New Roman"/>
          <w:szCs w:val="21"/>
        </w:rPr>
        <w:t>，写法为XXXX(与表名完全一致)如表1所示。图表名称要翻译，</w:t>
      </w:r>
      <w:r>
        <w:rPr>
          <w:rFonts w:ascii="Times New Roman" w:hAnsi="Times New Roman" w:cs="Times New Roman"/>
          <w:szCs w:val="21"/>
        </w:rPr>
        <w:t>文字内容必须和</w:t>
      </w:r>
      <w:r>
        <w:rPr>
          <w:rFonts w:hint="eastAsia" w:ascii="Times New Roman" w:hAnsi="Times New Roman" w:cs="Times New Roman"/>
          <w:szCs w:val="21"/>
        </w:rPr>
        <w:t>表</w:t>
      </w:r>
      <w:r>
        <w:rPr>
          <w:rFonts w:ascii="Times New Roman" w:hAnsi="Times New Roman" w:cs="Times New Roman"/>
          <w:szCs w:val="21"/>
        </w:rPr>
        <w:t>中内容相符，并置于</w:t>
      </w:r>
      <w:r>
        <w:rPr>
          <w:rFonts w:hint="eastAsia" w:ascii="Times New Roman" w:hAnsi="Times New Roman" w:cs="Times New Roman"/>
          <w:szCs w:val="21"/>
        </w:rPr>
        <w:t>表</w:t>
      </w:r>
      <w:r>
        <w:rPr>
          <w:rFonts w:ascii="Times New Roman" w:hAnsi="Times New Roman" w:cs="Times New Roman"/>
          <w:szCs w:val="21"/>
        </w:rPr>
        <w:t>的</w:t>
      </w:r>
      <w:r>
        <w:rPr>
          <w:rFonts w:hint="eastAsia" w:ascii="Times New Roman" w:hAnsi="Times New Roman" w:cs="Times New Roman"/>
          <w:szCs w:val="21"/>
        </w:rPr>
        <w:t>上</w:t>
      </w:r>
      <w:r>
        <w:rPr>
          <w:rFonts w:ascii="Times New Roman" w:hAnsi="Times New Roman" w:cs="Times New Roman"/>
          <w:szCs w:val="21"/>
        </w:rPr>
        <w:t>方。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（2）格式。</w:t>
      </w:r>
      <w:r>
        <w:rPr>
          <w:rFonts w:ascii="Times New Roman" w:hAnsi="Times New Roman" w:cs="Times New Roman"/>
          <w:szCs w:val="21"/>
        </w:rPr>
        <w:t>表格采用</w:t>
      </w:r>
      <w:r>
        <w:rPr>
          <w:rFonts w:hint="eastAsia" w:ascii="Times New Roman" w:hAnsi="Times New Roman" w:cs="Times New Roman"/>
          <w:szCs w:val="21"/>
        </w:rPr>
        <w:t>全线</w:t>
      </w:r>
      <w:r>
        <w:rPr>
          <w:rFonts w:ascii="Times New Roman" w:hAnsi="Times New Roman" w:cs="Times New Roman"/>
          <w:szCs w:val="21"/>
        </w:rPr>
        <w:t>表，</w:t>
      </w:r>
      <w:r>
        <w:rPr>
          <w:rFonts w:hint="eastAsia" w:ascii="Times New Roman" w:hAnsi="Times New Roman" w:cs="Times New Roman"/>
          <w:szCs w:val="21"/>
        </w:rPr>
        <w:t>表题为黑体小五号，表格中文字为宋体/Times New Roman小五号</w:t>
      </w:r>
      <w:r>
        <w:rPr>
          <w:rFonts w:ascii="Times New Roman" w:hAnsi="Times New Roman" w:cs="Times New Roman"/>
          <w:szCs w:val="21"/>
        </w:rPr>
        <w:t>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（3）表头处理。</w:t>
      </w:r>
      <w:r>
        <w:rPr>
          <w:rFonts w:ascii="Times New Roman" w:hAnsi="Times New Roman" w:cs="Times New Roman"/>
          <w:szCs w:val="21"/>
        </w:rPr>
        <w:t>要有层次，每一列必须有表头名称，不得空缺。图中用符号表示物理量和单位时，采用物理量/单位的形式标记，且物理量的符号用斜体字母表示，单位的符号用正体字母表示，如</w:t>
      </w:r>
      <w:r>
        <w:rPr>
          <w:rFonts w:ascii="Times New Roman" w:hAnsi="Times New Roman" w:cs="Times New Roman"/>
          <w:i/>
          <w:iCs/>
          <w:szCs w:val="21"/>
        </w:rPr>
        <w:t>H</w:t>
      </w:r>
      <w:r>
        <w:rPr>
          <w:rFonts w:ascii="Times New Roman" w:hAnsi="Times New Roman" w:cs="Times New Roman"/>
          <w:iCs/>
          <w:szCs w:val="21"/>
        </w:rPr>
        <w:t>/m，</w:t>
      </w:r>
      <w:r>
        <w:rPr>
          <w:rFonts w:ascii="Times New Roman" w:hAnsi="Times New Roman" w:cs="Times New Roman"/>
          <w:i/>
          <w:iCs/>
          <w:szCs w:val="21"/>
        </w:rPr>
        <w:t>μ</w:t>
      </w:r>
      <w:r>
        <w:rPr>
          <w:rFonts w:ascii="Times New Roman" w:hAnsi="Times New Roman" w:cs="Times New Roman"/>
          <w:iCs/>
          <w:szCs w:val="21"/>
        </w:rPr>
        <w:t>/(m·s</w:t>
      </w:r>
      <w:r>
        <w:rPr>
          <w:rFonts w:ascii="Times New Roman" w:hAnsi="Times New Roman" w:cs="Times New Roman"/>
          <w:iCs/>
          <w:szCs w:val="21"/>
          <w:vertAlign w:val="superscript"/>
        </w:rPr>
        <w:t>-1</w:t>
      </w:r>
      <w:r>
        <w:rPr>
          <w:rFonts w:ascii="Times New Roman" w:hAnsi="Times New Roman" w:cs="Times New Roman"/>
          <w:iCs/>
          <w:szCs w:val="21"/>
        </w:rPr>
        <w:t>)</w:t>
      </w:r>
      <w:r>
        <w:rPr>
          <w:rFonts w:ascii="Times New Roman" w:hAnsi="Times New Roman" w:cs="Times New Roman"/>
          <w:szCs w:val="21"/>
        </w:rPr>
        <w:t>等，全表一致的单位移到表右上角右对齐。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（4）数字处理。</w:t>
      </w:r>
      <w:r>
        <w:rPr>
          <w:rFonts w:ascii="Times New Roman" w:hAnsi="Times New Roman" w:cs="Times New Roman"/>
          <w:szCs w:val="21"/>
        </w:rPr>
        <w:t>表中各栏数据的有效数字位数应</w:t>
      </w:r>
      <w:r>
        <w:rPr>
          <w:rFonts w:hint="eastAsia" w:ascii="Times New Roman" w:hAnsi="Times New Roman" w:cs="Times New Roman"/>
          <w:szCs w:val="21"/>
        </w:rPr>
        <w:t>尽量</w:t>
      </w:r>
      <w:r>
        <w:rPr>
          <w:rFonts w:ascii="Times New Roman" w:hAnsi="Times New Roman" w:cs="Times New Roman"/>
          <w:szCs w:val="21"/>
        </w:rPr>
        <w:t>一致，字符和数据应与文字一致。表内“</w:t>
      </w:r>
      <w:r>
        <w:rPr>
          <w:rFonts w:hint="eastAsia" w:ascii="Times New Roman" w:hAnsi="Times New Roman" w:cs="Times New Roman"/>
          <w:szCs w:val="21"/>
        </w:rPr>
        <w:t>—</w:t>
      </w:r>
      <w:r>
        <w:rPr>
          <w:rFonts w:ascii="Times New Roman" w:hAnsi="Times New Roman" w:cs="Times New Roman"/>
          <w:szCs w:val="21"/>
        </w:rPr>
        <w:t>”表示未测试或无此项，“0”表示实测结果为零。</w:t>
      </w:r>
    </w:p>
    <w:p>
      <w:pPr>
        <w:adjustRightInd w:val="0"/>
        <w:snapToGrid w:val="0"/>
        <w:ind w:firstLine="4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Cs w:val="21"/>
        </w:rPr>
        <w:t>（5）表注。</w:t>
      </w:r>
      <w:r>
        <w:rPr>
          <w:rFonts w:ascii="Times New Roman" w:hAnsi="Times New Roman" w:cs="Times New Roman"/>
          <w:szCs w:val="21"/>
        </w:rPr>
        <w:t>表中所需说明的事项，可用简练的文字注于表的底线下方。</w:t>
      </w:r>
      <w:r>
        <w:rPr>
          <w:rFonts w:ascii="Times New Roman" w:hAnsi="Times New Roman" w:cs="Times New Roman"/>
          <w:color w:val="2F5597" w:themeColor="accent5" w:themeShade="BF"/>
          <w:szCs w:val="21"/>
        </w:rPr>
        <w:t>表注采用首行缩进2个中文字空格，字体用</w:t>
      </w: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小5楷体</w:t>
      </w:r>
      <w:r>
        <w:rPr>
          <w:rFonts w:ascii="Times New Roman" w:hAnsi="Times New Roman" w:cs="Times New Roman"/>
          <w:color w:val="2F5597" w:themeColor="accent5" w:themeShade="BF"/>
          <w:szCs w:val="21"/>
        </w:rPr>
        <w:t>。</w:t>
      </w:r>
      <w:r>
        <w:rPr>
          <w:rFonts w:ascii="Times New Roman" w:hAnsi="Times New Roman" w:cs="Times New Roman"/>
          <w:bCs/>
        </w:rPr>
        <w:t>表注最后不用句号。</w:t>
      </w:r>
    </w:p>
    <w:p>
      <w:pPr>
        <w:pStyle w:val="2"/>
        <w:jc w:val="center"/>
      </w:pPr>
      <w:r>
        <w:drawing>
          <wp:inline distT="0" distB="0" distL="0" distR="0">
            <wp:extent cx="3149600" cy="1252220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3730" cy="125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adjustRightInd w:val="0"/>
        <w:snapToGrid w:val="0"/>
        <w:spacing w:before="0" w:after="0" w:line="240" w:lineRule="auto"/>
        <w:rPr>
          <w:rStyle w:val="15"/>
          <w:rFonts w:ascii="Times New Roman" w:hAnsi="Times New Roman" w:cs="Times New Roman"/>
          <w:b/>
          <w:bCs w:val="0"/>
          <w:sz w:val="24"/>
        </w:rPr>
      </w:pPr>
      <w:r>
        <w:rPr>
          <w:rStyle w:val="31"/>
          <w:rFonts w:ascii="Times New Roman" w:hAnsi="Times New Roman" w:cs="Times New Roman"/>
          <w:b w:val="0"/>
          <w:bCs w:val="0"/>
        </w:rPr>
        <w:t>5 参考文献（References）：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要求：</w:t>
      </w:r>
    </w:p>
    <w:p>
      <w:pPr>
        <w:pStyle w:val="40"/>
        <w:numPr>
          <w:ilvl w:val="0"/>
          <w:numId w:val="1"/>
        </w:numPr>
        <w:adjustRightInd w:val="0"/>
        <w:snapToGrid w:val="0"/>
        <w:ind w:firstLineChars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文献格式要求为</w:t>
      </w:r>
      <w:r>
        <w:rPr>
          <w:rFonts w:ascii="Times New Roman" w:hAnsi="Times New Roman" w:cs="Times New Roman"/>
          <w:color w:val="2F5597" w:themeColor="accent5" w:themeShade="BF"/>
          <w:szCs w:val="21"/>
        </w:rPr>
        <w:t>5</w:t>
      </w: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号字，单倍行距；字体中文宋体、英文</w:t>
      </w:r>
      <w:r>
        <w:rPr>
          <w:rFonts w:ascii="Times New Roman" w:hAnsi="Times New Roman" w:cs="Times New Roman"/>
          <w:color w:val="2F5597" w:themeColor="accent5" w:themeShade="BF"/>
          <w:szCs w:val="21"/>
        </w:rPr>
        <w:t>Times New Roman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②参考文献至少</w:t>
      </w:r>
      <w:r>
        <w:rPr>
          <w:rFonts w:ascii="Times New Roman" w:hAnsi="Times New Roman" w:cs="Times New Roman"/>
          <w:color w:val="2F5597" w:themeColor="accent5" w:themeShade="BF"/>
          <w:szCs w:val="21"/>
        </w:rPr>
        <w:t>1</w:t>
      </w:r>
      <w:r>
        <w:rPr>
          <w:rFonts w:hint="eastAsia" w:ascii="Times New Roman" w:hAnsi="Times New Roman" w:cs="Times New Roman"/>
          <w:color w:val="2F5597" w:themeColor="accent5" w:themeShade="BF"/>
          <w:szCs w:val="21"/>
          <w:lang w:val="en-US" w:eastAsia="zh-CN"/>
        </w:rPr>
        <w:t>5</w:t>
      </w: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篇，外文参考文献至少1篇；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③原刊有英文标题的换行列出该参考文献的相应英文，不要自行翻译，只需拷贝文献的原英文翻译，原</w:t>
      </w:r>
      <w:bookmarkStart w:id="3" w:name="_GoBack"/>
      <w:bookmarkEnd w:id="3"/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刊无英文的可忽略；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④在文中按照顺序标出引用文献的序号；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⑤参考文献摞在一起不要超过3个，如[2-4]，应分散排列在文内；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⑥文献中所有逗号和冒号为中文全字符，其余标点符号为英文半字符；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hint="eastAsia" w:ascii="宋体" w:hAnsi="宋体" w:cs="Times New Roman"/>
          <w:color w:val="2F5597" w:themeColor="accent5" w:themeShade="BF"/>
          <w:szCs w:val="21"/>
        </w:rPr>
        <w:t>⑦</w:t>
      </w: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文献中两个字的作者姓名中需加入2个空格，如“李  明”，除此以外不得有空格。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 图书、专著   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[序号]著者．题名[M]．出版地（城市名）：出版者（可以是学术团体），出版年．</w:t>
      </w:r>
    </w:p>
    <w:p>
      <w:pPr>
        <w:adjustRightInd w:val="0"/>
        <w:snapToGrid w:val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[1]</w:t>
      </w:r>
      <w:r>
        <w:rPr>
          <w:rFonts w:hint="eastAsia" w:ascii="Times New Roman" w:hAnsi="Times New Roman" w:cs="Times New Roman"/>
          <w:szCs w:val="21"/>
        </w:rPr>
        <w:t>傅志寰，胡思继，姜秀山，等.中国交通运输中长期节能问题研究[M].北京：人民交通出版社，2011.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 期刊中析出的文献    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[序号]作者．题名[J]．期刊名全称，年，卷</w:t>
      </w:r>
      <w:r>
        <w:rPr>
          <w:rFonts w:hint="eastAsia" w:ascii="Times New Roman" w:hAnsi="Times New Roman" w:cs="Times New Roman"/>
          <w:color w:val="2F5597" w:themeColor="accent5" w:themeShade="BF"/>
          <w:szCs w:val="21"/>
        </w:rPr>
        <w:t>(</w:t>
      </w:r>
      <w:r>
        <w:rPr>
          <w:rFonts w:ascii="Times New Roman" w:hAnsi="Times New Roman" w:cs="Times New Roman"/>
          <w:color w:val="2F5597" w:themeColor="accent5" w:themeShade="BF"/>
          <w:szCs w:val="21"/>
        </w:rPr>
        <w:t>期)：起止页码．</w:t>
      </w:r>
    </w:p>
    <w:p>
      <w:pPr>
        <w:pStyle w:val="5"/>
        <w:adjustRightInd w:val="0"/>
        <w:rPr>
          <w:rFonts w:ascii="Times New Roman" w:hAnsi="Times New Roman" w:eastAsiaTheme="minorEastAsia"/>
          <w:szCs w:val="21"/>
        </w:rPr>
      </w:pPr>
      <w:r>
        <w:rPr>
          <w:rFonts w:ascii="Times New Roman" w:hAnsi="Times New Roman"/>
          <w:szCs w:val="21"/>
        </w:rPr>
        <w:t>[1]</w:t>
      </w:r>
      <w:r>
        <w:rPr>
          <w:rFonts w:eastAsiaTheme="minorEastAsia"/>
          <w:szCs w:val="21"/>
        </w:rPr>
        <w:t>郭玉华</w:t>
      </w:r>
      <w:r>
        <w:rPr>
          <w:rFonts w:ascii="Times New Roman" w:hAnsi="Times New Roman" w:eastAsiaTheme="minorEastAsia"/>
          <w:szCs w:val="21"/>
        </w:rPr>
        <w:t>.</w:t>
      </w:r>
      <w:r>
        <w:rPr>
          <w:rFonts w:eastAsiaTheme="minorEastAsia"/>
          <w:szCs w:val="21"/>
        </w:rPr>
        <w:t>我国铁路电子商务物流供应链协同发展的研究</w:t>
      </w:r>
      <w:r>
        <w:rPr>
          <w:rFonts w:ascii="Times New Roman" w:hAnsi="Times New Roman" w:eastAsiaTheme="minorEastAsia"/>
          <w:szCs w:val="21"/>
        </w:rPr>
        <w:t>[J].铁道运输与经济，2014，36(10)：1-10.</w:t>
      </w:r>
    </w:p>
    <w:p>
      <w:pPr>
        <w:pStyle w:val="5"/>
        <w:adjustRightInd w:val="0"/>
        <w:rPr>
          <w:rFonts w:ascii="Times New Roman" w:hAnsi="Times New Roman" w:eastAsiaTheme="minorEastAsia"/>
          <w:szCs w:val="21"/>
        </w:rPr>
      </w:pPr>
      <w:r>
        <w:rPr>
          <w:rFonts w:ascii="Times New Roman" w:hAnsi="Times New Roman" w:eastAsiaTheme="minorEastAsia"/>
          <w:szCs w:val="21"/>
        </w:rPr>
        <w:t>GUO Yuhua.Study on Coordinative Development of Railway E-Business Logistic Supply-Chain in China[J]. Railway Transport and Economy，2014，36(10)：1-10.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 学位论文    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 xml:space="preserve">[序号] 著者．题名[D]．保存地（城市名）：保存者（一般为大学或研究机构），年份． </w:t>
      </w:r>
    </w:p>
    <w:p>
      <w:pPr>
        <w:pStyle w:val="38"/>
        <w:spacing w:line="240" w:lineRule="auto"/>
        <w:ind w:firstLine="0" w:firstLineChars="0"/>
        <w:rPr>
          <w:szCs w:val="21"/>
        </w:rPr>
      </w:pPr>
      <w:r>
        <w:rPr>
          <w:rFonts w:eastAsiaTheme="minorEastAsia"/>
          <w:szCs w:val="21"/>
        </w:rPr>
        <w:t>[1]</w:t>
      </w:r>
      <w:r>
        <w:rPr>
          <w:rFonts w:hint="eastAsia" w:eastAsiaTheme="minorEastAsia"/>
          <w:szCs w:val="21"/>
        </w:rPr>
        <w:t>赵</w:t>
      </w:r>
      <w:r>
        <w:rPr>
          <w:rFonts w:eastAsiaTheme="minorEastAsia"/>
          <w:szCs w:val="21"/>
        </w:rPr>
        <w:t xml:space="preserve">  </w:t>
      </w:r>
      <w:r>
        <w:rPr>
          <w:rFonts w:hint="eastAsia" w:eastAsiaTheme="minorEastAsia"/>
          <w:szCs w:val="21"/>
        </w:rPr>
        <w:t>莉</w:t>
      </w:r>
      <w:r>
        <w:rPr>
          <w:rFonts w:eastAsiaTheme="minorEastAsia"/>
          <w:szCs w:val="21"/>
        </w:rPr>
        <w:t>.</w:t>
      </w:r>
      <w:r>
        <w:rPr>
          <w:rFonts w:hint="eastAsia" w:eastAsiaTheme="minorEastAsia"/>
          <w:szCs w:val="21"/>
        </w:rPr>
        <w:t>交通运输能源效率及节能问题研究</w:t>
      </w:r>
      <w:r>
        <w:rPr>
          <w:rFonts w:eastAsiaTheme="minorEastAsia"/>
          <w:szCs w:val="21"/>
        </w:rPr>
        <w:t>[D].</w:t>
      </w:r>
      <w:r>
        <w:rPr>
          <w:rFonts w:hint="eastAsia" w:eastAsiaTheme="minorEastAsia"/>
          <w:szCs w:val="21"/>
        </w:rPr>
        <w:t>北京：北京交通大学，</w:t>
      </w:r>
      <w:r>
        <w:rPr>
          <w:rFonts w:eastAsiaTheme="minorEastAsia"/>
          <w:szCs w:val="21"/>
        </w:rPr>
        <w:t>2012.</w:t>
      </w:r>
      <w:r>
        <w:rPr>
          <w:szCs w:val="21"/>
        </w:rPr>
        <w:t xml:space="preserve"> 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 标准   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 标准提出者. 标准名称：标准代号[S]. 出版地：出版社，出版年.</w:t>
      </w:r>
    </w:p>
    <w:p>
      <w:pPr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[1]中华人民共和国铁道部.铁路站场与枢纽设计规范：GB 50091—2006[S].北京：中国计划出版社，2006：43-49. 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 论文集著录格式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 主要责任者．论文集名[C]．出版地：出版社，出版时间．</w:t>
      </w:r>
    </w:p>
    <w:p>
      <w:pPr>
        <w:tabs>
          <w:tab w:val="left" w:pos="855"/>
        </w:tabs>
        <w:adjustRightInd w:val="0"/>
        <w:snapToGrid w:val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[1]贾东琴，柯平.面向数字素养的高校图书馆数字服务体系研究[C]//中国图书馆学会.中国图书馆学会年会论文集：2011年卷.北京：国家图书馆出版社，2011：45-52.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 科技报告   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[序号]著者．题名 [R]．保存地（城市名）：主办单位（可以是学术团体），年份．</w:t>
      </w:r>
    </w:p>
    <w:p>
      <w:pPr>
        <w:autoSpaceDE w:val="0"/>
        <w:autoSpaceDN w:val="0"/>
        <w:adjustRightInd w:val="0"/>
        <w:snapToGrid w:val="0"/>
        <w:ind w:left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[1]中铁第四勘察设计院集团有限公司.新建昆明至楚雄城际轨道交通工程可行性研究[R].武汉：中铁第四勘察设计院集团有限公司，2013.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5.7 报纸中析出的文章     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[序号]作者．题名[N]．报纸名，出版日期（版次）．</w:t>
      </w:r>
    </w:p>
    <w:p>
      <w:pPr>
        <w:adjustRightInd w:val="0"/>
        <w:snapToGrid w:val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[1]</w:t>
      </w:r>
      <w:r>
        <w:rPr>
          <w:rFonts w:hint="eastAsia" w:ascii="Times New Roman" w:hAnsi="Times New Roman" w:cs="Times New Roman"/>
          <w:szCs w:val="21"/>
        </w:rPr>
        <w:t>田文生.“渝新欧”第526趟班列开出[N].中国青年报，2016-02-26(1).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5.8 电子文献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[序号]作者.题名［电子文献/载体类型标识］. （发表或更新日期）[引用日期].电子文献的出处或可获得地址</w:t>
      </w:r>
    </w:p>
    <w:p>
      <w:pPr>
        <w:adjustRightInd w:val="0"/>
        <w:snapToGrid w:val="0"/>
        <w:rPr>
          <w:rFonts w:ascii="Times New Roman" w:hAnsi="Times New Roman" w:cs="Times New Roman"/>
          <w:sz w:val="15"/>
          <w:szCs w:val="15"/>
        </w:rPr>
      </w:pPr>
      <w:bookmarkStart w:id="0" w:name="_Ref456090655"/>
      <w:bookmarkStart w:id="1" w:name="_Ref456022010"/>
      <w:r>
        <w:rPr>
          <w:rFonts w:ascii="Times New Roman" w:hAnsi="Times New Roman" w:cs="Times New Roman"/>
          <w:szCs w:val="21"/>
        </w:rPr>
        <w:t>[1]沈言炎.CRM客户关系管理系统建设方案[EB/OL].(2013-11-05)[2016-03-18]</w:t>
      </w:r>
      <w:bookmarkEnd w:id="0"/>
      <w:r>
        <w:rPr>
          <w:rFonts w:ascii="Times New Roman" w:hAnsi="Times New Roman" w:cs="Times New Roman"/>
          <w:szCs w:val="21"/>
        </w:rPr>
        <w:t>.http://wenku.baidu.com/link?url=xJxU5jej2Y2NQMsze-HIqBKrCd0eM6yLfoPtMCye3ZHQw69l4Q2KRTSD41DwVz0JOmsg47xbptpSAmQd00yz4HpsyPYy4duXxxThN8jfgqS###</w:t>
      </w:r>
      <w:bookmarkEnd w:id="1"/>
      <w:r>
        <w:rPr>
          <w:rFonts w:ascii="Times New Roman" w:hAnsi="Times New Roman" w:cs="Times New Roman"/>
          <w:szCs w:val="21"/>
        </w:rPr>
        <w:t>.</w:t>
      </w:r>
    </w:p>
    <w:p>
      <w:pPr>
        <w:pStyle w:val="4"/>
        <w:adjustRightInd w:val="0"/>
        <w:snapToGrid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5.9 图书、论文集等专著中的析出文献</w:t>
      </w:r>
    </w:p>
    <w:p>
      <w:pPr>
        <w:adjustRightInd w:val="0"/>
        <w:snapToGrid w:val="0"/>
        <w:rPr>
          <w:rFonts w:ascii="Times New Roman" w:hAnsi="Times New Roman" w:cs="Times New Roman"/>
          <w:color w:val="2F5597" w:themeColor="accent5" w:themeShade="BF"/>
          <w:szCs w:val="21"/>
        </w:rPr>
      </w:pPr>
      <w:r>
        <w:rPr>
          <w:rFonts w:ascii="Times New Roman" w:hAnsi="Times New Roman" w:cs="Times New Roman"/>
          <w:color w:val="2F5597" w:themeColor="accent5" w:themeShade="BF"/>
          <w:szCs w:val="21"/>
        </w:rPr>
        <w:t>析出文献主要责任者．析出文献题名 [文献类型标志]．出版地：出版者，出版年．</w:t>
      </w:r>
    </w:p>
    <w:p>
      <w:pPr>
        <w:pStyle w:val="38"/>
        <w:spacing w:line="240" w:lineRule="auto"/>
        <w:ind w:firstLine="0" w:firstLineChars="0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[1]</w:t>
      </w:r>
      <w:bookmarkStart w:id="2" w:name="_Hlk126600785"/>
      <w:r>
        <w:rPr>
          <w:rFonts w:hint="eastAsia" w:eastAsiaTheme="minorEastAsia"/>
          <w:szCs w:val="21"/>
        </w:rPr>
        <w:t>傅志寰，胡思继，姜秀山，等</w:t>
      </w:r>
      <w:r>
        <w:rPr>
          <w:rFonts w:eastAsiaTheme="minorEastAsia"/>
          <w:szCs w:val="21"/>
        </w:rPr>
        <w:t>.</w:t>
      </w:r>
      <w:r>
        <w:rPr>
          <w:rFonts w:hint="eastAsia" w:eastAsiaTheme="minorEastAsia"/>
          <w:szCs w:val="21"/>
        </w:rPr>
        <w:t>中国交通运输中长期节能问题研究</w:t>
      </w:r>
      <w:r>
        <w:rPr>
          <w:rFonts w:eastAsiaTheme="minorEastAsia"/>
          <w:szCs w:val="21"/>
        </w:rPr>
        <w:t>[M].</w:t>
      </w:r>
      <w:r>
        <w:rPr>
          <w:rFonts w:hint="eastAsia" w:eastAsiaTheme="minorEastAsia"/>
          <w:szCs w:val="21"/>
        </w:rPr>
        <w:t>北京：人民交通出版社，</w:t>
      </w:r>
      <w:r>
        <w:rPr>
          <w:rFonts w:eastAsiaTheme="minorEastAsia"/>
          <w:szCs w:val="21"/>
        </w:rPr>
        <w:t>2011.</w:t>
      </w:r>
      <w:bookmarkEnd w:id="2"/>
    </w:p>
    <w:sectPr>
      <w:footerReference r:id="rId3" w:type="default"/>
      <w:pgSz w:w="11906" w:h="16838"/>
      <w:pgMar w:top="1134" w:right="1247" w:bottom="1134" w:left="1247" w:header="851" w:footer="992" w:gutter="0"/>
      <w:cols w:space="425" w:num="1"/>
      <w:docGrid w:type="lines" w:linePitch="29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21404C"/>
    <w:multiLevelType w:val="multilevel"/>
    <w:tmpl w:val="2821404C"/>
    <w:lvl w:ilvl="0" w:tentative="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29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g2NTI2MTU1MTQ0YzU5ZDI2NTY3ODZiN2NjZTQxY2EifQ=="/>
  </w:docVars>
  <w:rsids>
    <w:rsidRoot w:val="005342F8"/>
    <w:rsid w:val="00012F4B"/>
    <w:rsid w:val="00021F82"/>
    <w:rsid w:val="000452D6"/>
    <w:rsid w:val="000D7A27"/>
    <w:rsid w:val="000F2748"/>
    <w:rsid w:val="001123D9"/>
    <w:rsid w:val="00117840"/>
    <w:rsid w:val="00123458"/>
    <w:rsid w:val="00160ABA"/>
    <w:rsid w:val="001C0E00"/>
    <w:rsid w:val="0020435A"/>
    <w:rsid w:val="002211F4"/>
    <w:rsid w:val="00341D57"/>
    <w:rsid w:val="00347976"/>
    <w:rsid w:val="003879B4"/>
    <w:rsid w:val="003A1945"/>
    <w:rsid w:val="003B2DAA"/>
    <w:rsid w:val="003D574B"/>
    <w:rsid w:val="004469BC"/>
    <w:rsid w:val="004708E0"/>
    <w:rsid w:val="00486CA0"/>
    <w:rsid w:val="00487335"/>
    <w:rsid w:val="004A059F"/>
    <w:rsid w:val="004B1027"/>
    <w:rsid w:val="004B7590"/>
    <w:rsid w:val="004C66E0"/>
    <w:rsid w:val="004D21A7"/>
    <w:rsid w:val="005342F8"/>
    <w:rsid w:val="00584E58"/>
    <w:rsid w:val="0059021E"/>
    <w:rsid w:val="005B6A9C"/>
    <w:rsid w:val="005E03F6"/>
    <w:rsid w:val="0064392A"/>
    <w:rsid w:val="00672FD7"/>
    <w:rsid w:val="00684F24"/>
    <w:rsid w:val="00687B76"/>
    <w:rsid w:val="00695791"/>
    <w:rsid w:val="006A4E59"/>
    <w:rsid w:val="006C2069"/>
    <w:rsid w:val="006F2C55"/>
    <w:rsid w:val="006F3CD7"/>
    <w:rsid w:val="00730FCE"/>
    <w:rsid w:val="0075552C"/>
    <w:rsid w:val="00756A24"/>
    <w:rsid w:val="00765790"/>
    <w:rsid w:val="00774286"/>
    <w:rsid w:val="007B5066"/>
    <w:rsid w:val="007E3E48"/>
    <w:rsid w:val="007F35AE"/>
    <w:rsid w:val="008126E0"/>
    <w:rsid w:val="008469F1"/>
    <w:rsid w:val="00897CCE"/>
    <w:rsid w:val="00924E0C"/>
    <w:rsid w:val="009478E7"/>
    <w:rsid w:val="0095632A"/>
    <w:rsid w:val="009964C2"/>
    <w:rsid w:val="009A48FD"/>
    <w:rsid w:val="009B2D4A"/>
    <w:rsid w:val="009B5237"/>
    <w:rsid w:val="009C4B9A"/>
    <w:rsid w:val="009E0DA8"/>
    <w:rsid w:val="009E23E9"/>
    <w:rsid w:val="009F6247"/>
    <w:rsid w:val="00A22432"/>
    <w:rsid w:val="00AA0487"/>
    <w:rsid w:val="00AA1CFE"/>
    <w:rsid w:val="00AC3C90"/>
    <w:rsid w:val="00B80D22"/>
    <w:rsid w:val="00B96484"/>
    <w:rsid w:val="00B9795F"/>
    <w:rsid w:val="00B97E37"/>
    <w:rsid w:val="00BB5459"/>
    <w:rsid w:val="00C34E01"/>
    <w:rsid w:val="00C61D34"/>
    <w:rsid w:val="00CD436E"/>
    <w:rsid w:val="00CD49B4"/>
    <w:rsid w:val="00CF2FB4"/>
    <w:rsid w:val="00D000EB"/>
    <w:rsid w:val="00D31A5D"/>
    <w:rsid w:val="00D36A4E"/>
    <w:rsid w:val="00D447A6"/>
    <w:rsid w:val="00D74440"/>
    <w:rsid w:val="00D87879"/>
    <w:rsid w:val="00D93026"/>
    <w:rsid w:val="00D95152"/>
    <w:rsid w:val="00D965C0"/>
    <w:rsid w:val="00DE4A56"/>
    <w:rsid w:val="00E41108"/>
    <w:rsid w:val="00E97846"/>
    <w:rsid w:val="00EB21BB"/>
    <w:rsid w:val="00F32374"/>
    <w:rsid w:val="00F67543"/>
    <w:rsid w:val="00F75CDF"/>
    <w:rsid w:val="00F910CC"/>
    <w:rsid w:val="00F965B2"/>
    <w:rsid w:val="00FD0057"/>
    <w:rsid w:val="020561EB"/>
    <w:rsid w:val="045D1B96"/>
    <w:rsid w:val="063B377E"/>
    <w:rsid w:val="06F67CFA"/>
    <w:rsid w:val="07ED258E"/>
    <w:rsid w:val="08445ACA"/>
    <w:rsid w:val="0A754301"/>
    <w:rsid w:val="0D902303"/>
    <w:rsid w:val="0E2B6124"/>
    <w:rsid w:val="0EA34F52"/>
    <w:rsid w:val="100D26E5"/>
    <w:rsid w:val="120A6000"/>
    <w:rsid w:val="12834052"/>
    <w:rsid w:val="147F5F0E"/>
    <w:rsid w:val="158B066E"/>
    <w:rsid w:val="1649737C"/>
    <w:rsid w:val="1C9B5E51"/>
    <w:rsid w:val="1F463F0C"/>
    <w:rsid w:val="1F9F049B"/>
    <w:rsid w:val="20F2462B"/>
    <w:rsid w:val="24D9646C"/>
    <w:rsid w:val="2BF23751"/>
    <w:rsid w:val="2C8E04D3"/>
    <w:rsid w:val="2CA96C55"/>
    <w:rsid w:val="384B4DB2"/>
    <w:rsid w:val="385E74D0"/>
    <w:rsid w:val="3999786B"/>
    <w:rsid w:val="39B04430"/>
    <w:rsid w:val="432D5C24"/>
    <w:rsid w:val="46662327"/>
    <w:rsid w:val="47C8615B"/>
    <w:rsid w:val="48346E88"/>
    <w:rsid w:val="4CE03F7C"/>
    <w:rsid w:val="50854E7C"/>
    <w:rsid w:val="50A26316"/>
    <w:rsid w:val="52481A73"/>
    <w:rsid w:val="52672FA8"/>
    <w:rsid w:val="557E1660"/>
    <w:rsid w:val="58AC0B0F"/>
    <w:rsid w:val="614F5F26"/>
    <w:rsid w:val="65E34694"/>
    <w:rsid w:val="668967BF"/>
    <w:rsid w:val="6B276665"/>
    <w:rsid w:val="6D7E6433"/>
    <w:rsid w:val="6DCD5D6A"/>
    <w:rsid w:val="6DEA5E99"/>
    <w:rsid w:val="6ED17FE0"/>
    <w:rsid w:val="6FB65F48"/>
    <w:rsid w:val="6FCF33E3"/>
    <w:rsid w:val="747C2E90"/>
    <w:rsid w:val="79992452"/>
    <w:rsid w:val="7A407C42"/>
    <w:rsid w:val="7C420B41"/>
    <w:rsid w:val="7D6715E2"/>
    <w:rsid w:val="9FFB9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1"/>
    <w:qFormat/>
    <w:uiPriority w:val="9"/>
    <w:pPr>
      <w:keepNext/>
      <w:keepLines/>
      <w:spacing w:before="340" w:after="330" w:line="576" w:lineRule="auto"/>
      <w:outlineLvl w:val="0"/>
    </w:pPr>
    <w:rPr>
      <w:rFonts w:eastAsia="黑体"/>
      <w:b/>
      <w:bCs/>
      <w:kern w:val="44"/>
      <w:sz w:val="28"/>
      <w:szCs w:val="44"/>
    </w:rPr>
  </w:style>
  <w:style w:type="paragraph" w:styleId="4">
    <w:name w:val="heading 2"/>
    <w:basedOn w:val="1"/>
    <w:next w:val="1"/>
    <w:link w:val="32"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="Cambria" w:hAnsi="Cambria" w:cs="宋体"/>
      <w:b/>
      <w:bCs/>
      <w:sz w:val="24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5">
    <w:name w:val="endnote text"/>
    <w:basedOn w:val="1"/>
    <w:link w:val="37"/>
    <w:unhideWhenUsed/>
    <w:uiPriority w:val="99"/>
    <w:pPr>
      <w:snapToGrid w:val="0"/>
      <w:jc w:val="left"/>
    </w:pPr>
    <w:rPr>
      <w:rFonts w:cs="Times New Roman"/>
    </w:rPr>
  </w:style>
  <w:style w:type="paragraph" w:styleId="6">
    <w:name w:val="Balloon Text"/>
    <w:basedOn w:val="1"/>
    <w:link w:val="30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footnote text"/>
    <w:basedOn w:val="1"/>
    <w:link w:val="26"/>
    <w:unhideWhenUsed/>
    <w:qFormat/>
    <w:uiPriority w:val="0"/>
    <w:pPr>
      <w:snapToGrid w:val="0"/>
      <w:jc w:val="left"/>
    </w:pPr>
    <w:rPr>
      <w:sz w:val="18"/>
      <w:szCs w:val="20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Title"/>
    <w:basedOn w:val="1"/>
    <w:next w:val="1"/>
    <w:link w:val="33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48"/>
      <w:szCs w:val="32"/>
    </w:rPr>
  </w:style>
  <w:style w:type="table" w:styleId="13">
    <w:name w:val="Table Grid"/>
    <w:basedOn w:val="12"/>
    <w:qFormat/>
    <w:uiPriority w:val="39"/>
    <w:rPr>
      <w:rFonts w:asciiTheme="minorHAnsi" w:hAnsiTheme="minorHAnsi" w:eastAsiaTheme="minorEastAsia"/>
      <w:sz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qFormat/>
    <w:uiPriority w:val="22"/>
    <w:rPr>
      <w:b/>
      <w:bCs/>
    </w:rPr>
  </w:style>
  <w:style w:type="character" w:styleId="16">
    <w:name w:val="FollowedHyperlink"/>
    <w:basedOn w:val="14"/>
    <w:semiHidden/>
    <w:unhideWhenUsed/>
    <w:qFormat/>
    <w:uiPriority w:val="99"/>
    <w:rPr>
      <w:color w:val="666666"/>
      <w:u w:val="none"/>
    </w:rPr>
  </w:style>
  <w:style w:type="character" w:styleId="17">
    <w:name w:val="Emphasis"/>
    <w:basedOn w:val="14"/>
    <w:qFormat/>
    <w:uiPriority w:val="20"/>
  </w:style>
  <w:style w:type="character" w:styleId="18">
    <w:name w:val="HTML Definition"/>
    <w:basedOn w:val="14"/>
    <w:semiHidden/>
    <w:unhideWhenUsed/>
    <w:qFormat/>
    <w:uiPriority w:val="99"/>
  </w:style>
  <w:style w:type="character" w:styleId="19">
    <w:name w:val="HTML Acronym"/>
    <w:basedOn w:val="14"/>
    <w:semiHidden/>
    <w:unhideWhenUsed/>
    <w:qFormat/>
    <w:uiPriority w:val="99"/>
  </w:style>
  <w:style w:type="character" w:styleId="20">
    <w:name w:val="HTML Variable"/>
    <w:basedOn w:val="14"/>
    <w:semiHidden/>
    <w:unhideWhenUsed/>
    <w:qFormat/>
    <w:uiPriority w:val="99"/>
  </w:style>
  <w:style w:type="character" w:styleId="21">
    <w:name w:val="Hyperlink"/>
    <w:unhideWhenUsed/>
    <w:qFormat/>
    <w:uiPriority w:val="99"/>
    <w:rPr>
      <w:color w:val="0000FF"/>
      <w:u w:val="singl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HTML Cite"/>
    <w:basedOn w:val="14"/>
    <w:semiHidden/>
    <w:unhideWhenUsed/>
    <w:qFormat/>
    <w:uiPriority w:val="99"/>
  </w:style>
  <w:style w:type="character" w:customStyle="1" w:styleId="24">
    <w:name w:val="页眉 字符"/>
    <w:basedOn w:val="14"/>
    <w:link w:val="8"/>
    <w:qFormat/>
    <w:uiPriority w:val="99"/>
    <w:rPr>
      <w:sz w:val="18"/>
      <w:szCs w:val="18"/>
    </w:rPr>
  </w:style>
  <w:style w:type="character" w:customStyle="1" w:styleId="25">
    <w:name w:val="页脚 字符"/>
    <w:basedOn w:val="14"/>
    <w:link w:val="7"/>
    <w:qFormat/>
    <w:uiPriority w:val="99"/>
    <w:rPr>
      <w:sz w:val="18"/>
      <w:szCs w:val="18"/>
    </w:rPr>
  </w:style>
  <w:style w:type="character" w:customStyle="1" w:styleId="26">
    <w:name w:val="脚注文本 字符"/>
    <w:basedOn w:val="14"/>
    <w:link w:val="9"/>
    <w:semiHidden/>
    <w:qFormat/>
    <w:uiPriority w:val="0"/>
    <w:rPr>
      <w:rFonts w:ascii="Calibri" w:hAnsi="Calibri" w:eastAsia="宋体" w:cs="黑体"/>
      <w:sz w:val="18"/>
      <w:szCs w:val="20"/>
    </w:rPr>
  </w:style>
  <w:style w:type="paragraph" w:customStyle="1" w:styleId="27">
    <w:name w:val="reader-word-layer reader-word-s2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8">
    <w:name w:val="列出段落1"/>
    <w:basedOn w:val="1"/>
    <w:qFormat/>
    <w:uiPriority w:val="34"/>
    <w:pPr>
      <w:ind w:firstLine="420" w:firstLineChars="200"/>
    </w:pPr>
  </w:style>
  <w:style w:type="character" w:customStyle="1" w:styleId="29">
    <w:name w:val="apple-converted-space"/>
    <w:basedOn w:val="14"/>
    <w:qFormat/>
    <w:uiPriority w:val="0"/>
  </w:style>
  <w:style w:type="character" w:customStyle="1" w:styleId="30">
    <w:name w:val="批注框文本 字符"/>
    <w:basedOn w:val="14"/>
    <w:link w:val="6"/>
    <w:semiHidden/>
    <w:qFormat/>
    <w:uiPriority w:val="99"/>
    <w:rPr>
      <w:rFonts w:ascii="Calibri" w:hAnsi="Calibri" w:eastAsia="宋体" w:cs="黑体"/>
      <w:sz w:val="18"/>
      <w:szCs w:val="18"/>
    </w:rPr>
  </w:style>
  <w:style w:type="character" w:customStyle="1" w:styleId="31">
    <w:name w:val="标题 1 字符"/>
    <w:basedOn w:val="14"/>
    <w:link w:val="3"/>
    <w:qFormat/>
    <w:uiPriority w:val="9"/>
    <w:rPr>
      <w:rFonts w:ascii="Calibri" w:hAnsi="Calibri" w:eastAsia="黑体" w:cs="黑体"/>
      <w:b/>
      <w:bCs/>
      <w:kern w:val="44"/>
      <w:sz w:val="28"/>
      <w:szCs w:val="44"/>
    </w:rPr>
  </w:style>
  <w:style w:type="character" w:customStyle="1" w:styleId="32">
    <w:name w:val="标题 2 字符"/>
    <w:basedOn w:val="14"/>
    <w:link w:val="4"/>
    <w:qFormat/>
    <w:uiPriority w:val="9"/>
    <w:rPr>
      <w:rFonts w:ascii="Cambria" w:hAnsi="Cambria" w:eastAsia="宋体" w:cs="宋体"/>
      <w:b/>
      <w:bCs/>
      <w:sz w:val="24"/>
      <w:szCs w:val="32"/>
    </w:rPr>
  </w:style>
  <w:style w:type="character" w:customStyle="1" w:styleId="33">
    <w:name w:val="标题 字符"/>
    <w:basedOn w:val="14"/>
    <w:link w:val="11"/>
    <w:qFormat/>
    <w:uiPriority w:val="10"/>
    <w:rPr>
      <w:rFonts w:ascii="Cambria" w:hAnsi="Cambria" w:eastAsia="宋体" w:cs="Times New Roman"/>
      <w:b/>
      <w:bCs/>
      <w:sz w:val="48"/>
      <w:szCs w:val="32"/>
    </w:rPr>
  </w:style>
  <w:style w:type="table" w:customStyle="1" w:styleId="34">
    <w:name w:val="网格型1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5">
    <w:name w:val="focus"/>
    <w:basedOn w:val="14"/>
    <w:qFormat/>
    <w:uiPriority w:val="0"/>
  </w:style>
  <w:style w:type="paragraph" w:customStyle="1" w:styleId="36">
    <w:name w:val="图表标题"/>
    <w:qFormat/>
    <w:uiPriority w:val="0"/>
    <w:pPr>
      <w:snapToGrid w:val="0"/>
      <w:spacing w:beforeLines="10" w:afterLines="10" w:line="360" w:lineRule="auto"/>
      <w:jc w:val="center"/>
    </w:pPr>
    <w:rPr>
      <w:rFonts w:ascii="Times New Roman" w:hAnsi="Times New Roman" w:eastAsia="黑体" w:cs="Times New Roman"/>
      <w:b/>
      <w:sz w:val="18"/>
      <w:lang w:val="en-US" w:eastAsia="zh-CN" w:bidi="ar-SA"/>
    </w:rPr>
  </w:style>
  <w:style w:type="character" w:customStyle="1" w:styleId="37">
    <w:name w:val="尾注文本 字符"/>
    <w:basedOn w:val="14"/>
    <w:link w:val="5"/>
    <w:uiPriority w:val="99"/>
    <w:rPr>
      <w:rFonts w:ascii="Calibri" w:hAnsi="Calibri"/>
      <w:kern w:val="2"/>
      <w:sz w:val="21"/>
      <w:szCs w:val="22"/>
    </w:rPr>
  </w:style>
  <w:style w:type="paragraph" w:customStyle="1" w:styleId="38">
    <w:name w:val="正文（结尾部分）"/>
    <w:basedOn w:val="1"/>
    <w:uiPriority w:val="0"/>
    <w:pPr>
      <w:adjustRightInd w:val="0"/>
      <w:snapToGrid w:val="0"/>
      <w:spacing w:line="320" w:lineRule="exact"/>
      <w:ind w:firstLine="200" w:firstLineChars="200"/>
    </w:pPr>
    <w:rPr>
      <w:rFonts w:ascii="Times New Roman" w:hAnsi="Times New Roman" w:cs="Times New Roman"/>
      <w:szCs w:val="24"/>
    </w:rPr>
  </w:style>
  <w:style w:type="character" w:customStyle="1" w:styleId="39">
    <w:name w:val="未处理的提及1"/>
    <w:basedOn w:val="14"/>
    <w:semiHidden/>
    <w:unhideWhenUsed/>
    <w:uiPriority w:val="99"/>
    <w:rPr>
      <w:color w:val="605E5C"/>
      <w:shd w:val="clear" w:color="auto" w:fill="E1DFDD"/>
    </w:rPr>
  </w:style>
  <w:style w:type="paragraph" w:styleId="40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41">
    <w:name w:val="修订1"/>
    <w:hidden/>
    <w:semiHidden/>
    <w:qFormat/>
    <w:uiPriority w:val="99"/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customStyle="1" w:styleId="42">
    <w:name w:val="Revision"/>
    <w:hidden/>
    <w:semiHidden/>
    <w:uiPriority w:val="99"/>
    <w:rPr>
      <w:rFonts w:ascii="Calibri" w:hAnsi="Calibri" w:eastAsia="宋体" w:cs="黑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numbering" Target="numbering.xml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B3C63-7E72-4D42-B870-43628620908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2881</Words>
  <Characters>3529</Characters>
  <Lines>27</Lines>
  <Paragraphs>7</Paragraphs>
  <TotalTime>168</TotalTime>
  <ScaleCrop>false</ScaleCrop>
  <LinksUpToDate>false</LinksUpToDate>
  <CharactersWithSpaces>3673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2023-01-04T14:28:00Z</dcterms:created>
  <dc:creator>guolina</dc:creator>
  <cp:lastModifiedBy>Y</cp:lastModifiedBy>
  <cp:lastPrinted>2023-02-07T00:30:00Z</cp:lastPrinted>
  <dcterms:modified xsi:type="dcterms:W3CDTF">2023-05-11T05:11:37Z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A7DC23A9BEA9433DBA0BEC4D97D39AA8</vt:lpwstr>
  </property>
</Properties>
</file>